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1 · Topic 1.12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Blueprints and Instances</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Follow the references, climb the class family tree, and catch the claim that forgot about Object.</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9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1.12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1.12</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in pencil. For code, write exactly what prints, one line per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A call like </w:t>
            </w:r>
            <w:r>
              <w:rPr>
                <w:rFonts w:ascii="Atkinson Hyperlegible Mono" w:cs="Atkinson Hyperlegible Mono" w:eastAsia="Atkinson Hyperlegible Mono" w:hAnsi="Atkinson Hyperlegible Mono"/>
                <w:color w:val="1F2B28"/>
                <w:sz w:val="21"/>
                <w:szCs w:val="21"/>
              </w:rPr>
              <w:t xml:space="preserve">word.length()</w:t>
            </w:r>
            <w:r>
              <w:rPr>
                <w:rFonts w:ascii="Atkinson Hyperlegible Next" w:cs="Atkinson Hyperlegible Next" w:eastAsia="Atkinson Hyperlegible Next" w:hAnsi="Atkinson Hyperlegible Next"/>
                <w:color w:val="1F2B28"/>
                <w:sz w:val="22"/>
                <w:szCs w:val="22"/>
              </w:rPr>
              <w:t xml:space="preserve"> asks a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object for its number of characters; calling methods on objects is taught fully in Topic 1.14.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After </w:t>
            </w:r>
            <w:r>
              <w:rPr>
                <w:rFonts w:ascii="Atkinson Hyperlegible Mono" w:cs="Atkinson Hyperlegible Mono" w:eastAsia="Atkinson Hyperlegible Mono" w:hAnsi="Atkinson Hyperlegible Mono"/>
                <w:color w:val="1F2B28"/>
                <w:sz w:val="21"/>
                <w:szCs w:val="21"/>
              </w:rPr>
              <w:t xml:space="preserve">String b = a;</w:t>
            </w:r>
            <w:r>
              <w:rPr>
                <w:rFonts w:ascii="Atkinson Hyperlegible Next" w:cs="Atkinson Hyperlegible Next" w:eastAsia="Atkinson Hyperlegible Next" w:hAnsi="Atkinson Hyperlegible Next"/>
                <w:color w:val="1F2B28"/>
                <w:sz w:val="22"/>
                <w:szCs w:val="22"/>
              </w:rPr>
              <w:t xml:space="preserve"> runs, the program gives </w:t>
            </w:r>
            <w:r>
              <w:rPr>
                <w:rFonts w:ascii="Atkinson Hyperlegible Mono" w:cs="Atkinson Hyperlegible Mono" w:eastAsia="Atkinson Hyperlegible Mono" w:hAnsi="Atkinson Hyperlegible Mono"/>
                <w:color w:val="1F2B28"/>
                <w:sz w:val="21"/>
                <w:szCs w:val="21"/>
              </w:rPr>
              <w:t xml:space="preserve">a</w:t>
            </w:r>
            <w:r>
              <w:rPr>
                <w:rFonts w:ascii="Atkinson Hyperlegible Next" w:cs="Atkinson Hyperlegible Next" w:eastAsia="Atkinson Hyperlegible Next" w:hAnsi="Atkinson Hyperlegible Next"/>
                <w:color w:val="1F2B28"/>
                <w:sz w:val="22"/>
                <w:szCs w:val="22"/>
              </w:rPr>
              <w:t xml:space="preserve"> a different string. Does </w:t>
            </w:r>
            <w:r>
              <w:rPr>
                <w:rFonts w:ascii="Atkinson Hyperlegible Mono" w:cs="Atkinson Hyperlegible Mono" w:eastAsia="Atkinson Hyperlegible Mono" w:hAnsi="Atkinson Hyperlegible Mono"/>
                <w:color w:val="1F2B28"/>
                <w:sz w:val="21"/>
                <w:szCs w:val="21"/>
              </w:rPr>
              <w:t xml:space="preserve">b</w:t>
            </w:r>
            <w:r>
              <w:rPr>
                <w:rFonts w:ascii="Atkinson Hyperlegible Next" w:cs="Atkinson Hyperlegible Next" w:eastAsia="Atkinson Hyperlegible Next" w:hAnsi="Atkinson Hyperlegible Next"/>
                <w:color w:val="1F2B28"/>
                <w:sz w:val="22"/>
                <w:szCs w:val="22"/>
              </w:rPr>
              <w:t xml:space="preserve"> change too? Guess in the margin; question 1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Trace the code one statement at a time. After each line, write the </w:t>
            </w:r>
            <w:r>
              <w:rPr>
                <w:rFonts w:ascii="Atkinson Hyperlegible Mono" w:cs="Atkinson Hyperlegible Mono" w:eastAsia="Atkinson Hyperlegible Mono" w:hAnsi="Atkinson Hyperlegible Mono"/>
                <w:color w:val="1F2B28"/>
                <w:sz w:val="22"/>
                <w:szCs w:val="22"/>
              </w:rPr>
              <w:t xml:space="preserve">String</w:t>
            </w:r>
            <w:r>
              <w:rPr>
                <w:rFonts w:ascii="Atkinson Hyperlegible Next" w:cs="Atkinson Hyperlegible Next" w:eastAsia="Atkinson Hyperlegible Next" w:hAnsi="Atkinson Hyperlegible Next"/>
                <w:color w:val="1F2B28"/>
                <w:sz w:val="23"/>
                <w:szCs w:val="23"/>
              </w:rPr>
              <w:t xml:space="preserve"> object each variable refers to.</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String first = "maple";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String second = "cedar";</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first = second;</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second = "birch";</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00"/>
              <w:gridCol w:w="3840"/>
              <w:gridCol w:w="3840"/>
            </w:tblGrid>
            <w:tr>
              <w:trPr>
                <w:cantSplit/>
              </w:trPr>
              <w:tc>
                <w:tcPr>
                  <w:tcW w:type="dxa" w:w="2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After line</w:t>
                  </w:r>
                </w:p>
              </w:tc>
              <w:tc>
                <w:tcPr>
                  <w:tcW w:type="dxa" w:w="38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first refers to</w:t>
                  </w:r>
                </w:p>
              </w:tc>
              <w:tc>
                <w:tcPr>
                  <w:tcW w:type="dxa" w:w="38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second refers to</w:t>
                  </w:r>
                </w:p>
              </w:tc>
            </w:tr>
            <w:tr>
              <w:trPr>
                <w:cantSplit/>
                <w:trHeight w:val="340" w:hRule="atLeast"/>
              </w:trPr>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38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8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(not declared yet)</w:t>
                  </w:r>
                </w:p>
              </w:tc>
            </w:tr>
            <w:tr>
              <w:trPr>
                <w:cantSplit/>
                <w:trHeight w:val="340" w:hRule="atLeast"/>
              </w:trPr>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38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8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38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8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38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8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a = "otter";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b = "sea otter";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c = 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 = b;</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System.out.println(c.length());</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9</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8</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5</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otter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If a String variable holds only a reference, why does println show the text?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Because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follows the reference to the object and displays the object's characters. The reference itself, which you can picture as a memory address, stays hidden. That's handy, but it can fool you into thinking the variable </w:t>
            </w:r>
            <w:r>
              <w:rPr>
                <w:rFonts w:ascii="Atkinson Hyperlegible Next" w:cs="Atkinson Hyperlegible Next" w:eastAsia="Atkinson Hyperlegible Next" w:hAnsi="Atkinson Hyperlegible Next"/>
                <w:i/>
                <w:iCs/>
                <w:color w:val="1F2B28"/>
                <w:sz w:val="22"/>
                <w:szCs w:val="22"/>
              </w:rPr>
              <w:t xml:space="preserve">contains</w:t>
            </w:r>
            <w:r>
              <w:rPr>
                <w:rFonts w:ascii="Atkinson Hyperlegible Next" w:cs="Atkinson Hyperlegible Next" w:eastAsia="Atkinson Hyperlegible Next" w:hAnsi="Atkinson Hyperlegible Next"/>
                <w:color w:val="1F2B28"/>
                <w:sz w:val="22"/>
                <w:szCs w:val="22"/>
              </w:rPr>
              <w:t xml:space="preserve"> the letters. It contains only the way to find them.</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For each snippet, decide whether it compiles. If it does, write what it prints. If it doesn't,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00"/>
              <w:gridCol w:w="1500"/>
              <w:gridCol w:w="3580"/>
            </w:tblGrid>
            <w:tr>
              <w:trPr>
                <w:cantSplit/>
              </w:trPr>
              <w:tc>
                <w:tcPr>
                  <w:tcW w:type="dxa" w:w="5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5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city = "Boston";</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System.out.println(city);</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city = "Boston";</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size = city;</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code = "214";</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System.out.println(code);</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code = 214;</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System.out.println(code);</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String a = "owl";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String b = a;</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System.out.println(b);</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6</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5;</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String s = "n";</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4 puzzles</w:t>
      </w:r>
    </w:p>
    <w:p>
      <w:pPr>
        <w:pStyle w:val="Heading1"/>
        <w:keepNext/>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Key idea" descr="Key idea" title="Key idea"/>
                  <wp:cNvGraphicFramePr>
                    <a:graphicFrameLocks noChangeAspect="1"/>
                  </wp:cNvGraphicFramePr>
                  <a:graphic>
                    <a:graphicData uri="http://schemas.openxmlformats.org/drawingml/2006/picture">
                      <pic:pic>
                        <pic:nvPicPr>
                          <pic:cNvPr id="104" name="Key idea"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Key idea</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A streaming app's class family tree</w:t>
            </w:r>
          </w:p>
          <w:p>
            <w:pPr>
              <w:keepNext/>
              <w:spacing w:after="80" w:before="0" w:line="300" w:lineRule="auto"/>
            </w:pPr>
            <w:r>
              <w:rPr>
                <w:rFonts w:ascii="Atkinson Hyperlegible Next" w:cs="Atkinson Hyperlegible Next" w:eastAsia="Atkinson Hyperlegible Next" w:hAnsi="Atkinson Hyperlegible Next"/>
                <w:color w:val="1F2B28"/>
                <w:sz w:val="22"/>
                <w:szCs w:val="22"/>
              </w:rPr>
              <w:t xml:space="preserve">Questions 4 and 5 use this hierarchy. Each indented class is a subclass of the class above it. </w:t>
            </w:r>
            <w:r>
              <w:rPr>
                <w:rFonts w:ascii="Atkinson Hyperlegible Mono" w:cs="Atkinson Hyperlegible Mono" w:eastAsia="Atkinson Hyperlegible Mono" w:hAnsi="Atkinson Hyperlegible Mono"/>
                <w:color w:val="1F2B28"/>
                <w:sz w:val="21"/>
                <w:szCs w:val="21"/>
              </w:rPr>
              <w:t xml:space="preserve">MediaItem</w:t>
            </w:r>
            <w:r>
              <w:rPr>
                <w:rFonts w:ascii="Atkinson Hyperlegible Next" w:cs="Atkinson Hyperlegible Next" w:eastAsia="Atkinson Hyperlegible Next" w:hAnsi="Atkinson Hyperlegible Next"/>
                <w:color w:val="1F2B28"/>
                <w:sz w:val="22"/>
                <w:szCs w:val="22"/>
              </w:rPr>
              <w:t xml:space="preserve"> names no superclass of its own.</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Object</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    MediaItem   attributes: title, length    behavior: play</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        Song      attribute: artist</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        Podcast   attribute: host            behavior: skip intro</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For each kind of object, write </w:t>
            </w:r>
            <w:r>
              <w:rPr>
                <w:rFonts w:ascii="Atkinson Hyperlegible Next" w:cs="Atkinson Hyperlegible Next" w:eastAsia="Atkinson Hyperlegible Next" w:hAnsi="Atkinson Hyperlegible Next"/>
                <w:i/>
                <w:iCs/>
                <w:color w:val="1F2B28"/>
                <w:sz w:val="23"/>
                <w:szCs w:val="23"/>
              </w:rPr>
              <w:t xml:space="preserve">Yes</w:t>
            </w:r>
            <w:r>
              <w:rPr>
                <w:rFonts w:ascii="Atkinson Hyperlegible Next" w:cs="Atkinson Hyperlegible Next" w:eastAsia="Atkinson Hyperlegible Next" w:hAnsi="Atkinson Hyperlegible Next"/>
                <w:color w:val="1F2B28"/>
                <w:sz w:val="23"/>
                <w:szCs w:val="23"/>
              </w:rPr>
              <w:t xml:space="preserve"> if it has the attribute or behavior, or </w:t>
            </w:r>
            <w:r>
              <w:rPr>
                <w:rFonts w:ascii="Atkinson Hyperlegible Next" w:cs="Atkinson Hyperlegible Next" w:eastAsia="Atkinson Hyperlegible Next" w:hAnsi="Atkinson Hyperlegible Next"/>
                <w:i/>
                <w:iCs/>
                <w:color w:val="1F2B28"/>
                <w:sz w:val="23"/>
                <w:szCs w:val="23"/>
              </w:rPr>
              <w:t xml:space="preserve">No</w:t>
            </w:r>
            <w:r>
              <w:rPr>
                <w:rFonts w:ascii="Atkinson Hyperlegible Next" w:cs="Atkinson Hyperlegible Next" w:eastAsia="Atkinson Hyperlegible Next" w:hAnsi="Atkinson Hyperlegible Next"/>
                <w:color w:val="1F2B28"/>
                <w:sz w:val="23"/>
                <w:szCs w:val="23"/>
              </w:rPr>
              <w:t xml:space="preserve"> if it doesn't.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80"/>
              <w:gridCol w:w="1500"/>
              <w:gridCol w:w="1500"/>
              <w:gridCol w:w="1500"/>
              <w:gridCol w:w="1500"/>
              <w:gridCol w:w="1500"/>
            </w:tblGrid>
            <w:tr>
              <w:trPr>
                <w:cantSplit/>
              </w:trPr>
              <w:tc>
                <w:tcPr>
                  <w:tcW w:type="dxa" w:w="25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Object</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title</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artist</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host</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play</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skip intro</w:t>
                  </w:r>
                </w:p>
              </w:tc>
            </w:tr>
            <w:tr>
              <w:trPr>
                <w:cantSplit/>
                <w:trHeight w:val="340" w:hRule="atLeast"/>
              </w:trPr>
              <w:tc>
                <w:tcPr>
                  <w:tcW w:type="dxa" w:w="2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A </w:t>
                  </w:r>
                  <w:r>
                    <w:rPr>
                      <w:rFonts w:ascii="Atkinson Hyperlegible Mono" w:cs="Atkinson Hyperlegible Mono" w:eastAsia="Atkinson Hyperlegible Mono" w:hAnsi="Atkinson Hyperlegible Mono"/>
                      <w:color w:val="1F2B28"/>
                      <w:sz w:val="20"/>
                      <w:szCs w:val="20"/>
                    </w:rPr>
                    <w:t xml:space="preserve">Song</w:t>
                  </w:r>
                  <w:r>
                    <w:rPr>
                      <w:rFonts w:ascii="Atkinson Hyperlegible Next" w:cs="Atkinson Hyperlegible Next" w:eastAsia="Atkinson Hyperlegible Next" w:hAnsi="Atkinson Hyperlegible Next"/>
                      <w:color w:val="1F2B28"/>
                      <w:sz w:val="21"/>
                      <w:szCs w:val="21"/>
                    </w:rPr>
                    <w:t xml:space="preserve"> object</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A </w:t>
                  </w:r>
                  <w:r>
                    <w:rPr>
                      <w:rFonts w:ascii="Atkinson Hyperlegible Mono" w:cs="Atkinson Hyperlegible Mono" w:eastAsia="Atkinson Hyperlegible Mono" w:hAnsi="Atkinson Hyperlegible Mono"/>
                      <w:color w:val="1F2B28"/>
                      <w:sz w:val="20"/>
                      <w:szCs w:val="20"/>
                    </w:rPr>
                    <w:t xml:space="preserve">Podcast</w:t>
                  </w:r>
                  <w:r>
                    <w:rPr>
                      <w:rFonts w:ascii="Atkinson Hyperlegible Next" w:cs="Atkinson Hyperlegible Next" w:eastAsia="Atkinson Hyperlegible Next" w:hAnsi="Atkinson Hyperlegible Next"/>
                      <w:color w:val="1F2B28"/>
                      <w:sz w:val="21"/>
                      <w:szCs w:val="21"/>
                    </w:rPr>
                    <w:t xml:space="preserve"> object</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A </w:t>
                  </w:r>
                  <w:r>
                    <w:rPr>
                      <w:rFonts w:ascii="Atkinson Hyperlegible Mono" w:cs="Atkinson Hyperlegible Mono" w:eastAsia="Atkinson Hyperlegible Mono" w:hAnsi="Atkinson Hyperlegible Mono"/>
                      <w:color w:val="1F2B28"/>
                      <w:sz w:val="20"/>
                      <w:szCs w:val="20"/>
                    </w:rPr>
                    <w:t xml:space="preserve">MediaItem</w:t>
                  </w:r>
                  <w:r>
                    <w:rPr>
                      <w:rFonts w:ascii="Atkinson Hyperlegible Next" w:cs="Atkinson Hyperlegible Next" w:eastAsia="Atkinson Hyperlegible Next" w:hAnsi="Atkinson Hyperlegible Next"/>
                      <w:color w:val="1F2B28"/>
                      <w:sz w:val="21"/>
                      <w:szCs w:val="21"/>
                    </w:rPr>
                    <w:t xml:space="preserve"> object</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Watch out" descr="Watch out" title="Watch out"/>
                  <wp:cNvGraphicFramePr>
                    <a:graphicFrameLocks noChangeAspect="1"/>
                  </wp:cNvGraphicFramePr>
                  <a:graphic>
                    <a:graphicData uri="http://schemas.openxmlformats.org/drawingml/2006/picture">
                      <pic:pic>
                        <pic:nvPicPr>
                          <pic:cNvPr id="105"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Inheritance runs one way: </w:t>
            </w:r>
            <w:r>
              <w:rPr>
                <w:rFonts w:ascii="Atkinson Hyperlegible Next" w:cs="Atkinson Hyperlegible Next" w:eastAsia="Atkinson Hyperlegible Next" w:hAnsi="Atkinson Hyperlegible Next"/>
                <w:b/>
                <w:bCs/>
                <w:color w:val="1F2B28"/>
                <w:sz w:val="22"/>
                <w:szCs w:val="22"/>
              </w:rPr>
              <w:t xml:space="preserve">up</w:t>
            </w:r>
            <w:r>
              <w:rPr>
                <w:rFonts w:ascii="Atkinson Hyperlegible Next" w:cs="Atkinson Hyperlegible Next" w:eastAsia="Atkinson Hyperlegible Next" w:hAnsi="Atkinson Hyperlegible Next"/>
                <w:color w:val="1F2B28"/>
                <w:sz w:val="22"/>
                <w:szCs w:val="22"/>
              </w:rPr>
              <w:t xml:space="preserve">. In a school app where </w:t>
            </w:r>
            <w:r>
              <w:rPr>
                <w:rFonts w:ascii="Atkinson Hyperlegible Mono" w:cs="Atkinson Hyperlegible Mono" w:eastAsia="Atkinson Hyperlegible Mono" w:hAnsi="Atkinson Hyperlegible Mono"/>
                <w:color w:val="1F2B28"/>
                <w:sz w:val="21"/>
                <w:szCs w:val="21"/>
              </w:rPr>
              <w:t xml:space="preserve">Student</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Teacher</w:t>
            </w:r>
            <w:r>
              <w:rPr>
                <w:rFonts w:ascii="Atkinson Hyperlegible Next" w:cs="Atkinson Hyperlegible Next" w:eastAsia="Atkinson Hyperlegible Next" w:hAnsi="Atkinson Hyperlegible Next"/>
                <w:color w:val="1F2B28"/>
                <w:sz w:val="22"/>
                <w:szCs w:val="22"/>
              </w:rPr>
              <w:t xml:space="preserve"> both extend </w:t>
            </w:r>
            <w:r>
              <w:rPr>
                <w:rFonts w:ascii="Atkinson Hyperlegible Mono" w:cs="Atkinson Hyperlegible Mono" w:eastAsia="Atkinson Hyperlegible Mono" w:hAnsi="Atkinson Hyperlegible Mono"/>
                <w:color w:val="1F2B28"/>
                <w:sz w:val="21"/>
                <w:szCs w:val="21"/>
              </w:rPr>
              <w:t xml:space="preserve">Person</w:t>
            </w:r>
            <w:r>
              <w:rPr>
                <w:rFonts w:ascii="Atkinson Hyperlegible Next" w:cs="Atkinson Hyperlegible Next" w:eastAsia="Atkinson Hyperlegible Next" w:hAnsi="Atkinson Hyperlegible Next"/>
                <w:color w:val="1F2B28"/>
                <w:sz w:val="22"/>
                <w:szCs w:val="22"/>
              </w:rPr>
              <w:t xml:space="preserve">, a student has everything a person has, but a person doesn't get a student's grade level, and a student never gets a teacher's room number. Always start at the class you're asked about and climb.</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These claims are about the streaming app's family tree. Two are true and one is a lie. Circle the lie, then rewrite it so it's true.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MediaItem</w:t>
            </w:r>
            <w:r>
              <w:rPr>
                <w:rFonts w:ascii="Atkinson Hyperlegible Next" w:cs="Atkinson Hyperlegible Next" w:eastAsia="Atkinson Hyperlegible Next" w:hAnsi="Atkinson Hyperlegible Next"/>
                <w:color w:val="1F2B28"/>
                <w:sz w:val="22"/>
                <w:szCs w:val="22"/>
              </w:rPr>
              <w:t xml:space="preserve"> names no superclass, so Java makes </w:t>
            </w:r>
            <w:r>
              <w:rPr>
                <w:rFonts w:ascii="Atkinson Hyperlegible Mono" w:cs="Atkinson Hyperlegible Mono" w:eastAsia="Atkinson Hyperlegible Mono" w:hAnsi="Atkinson Hyperlegible Mono"/>
                <w:color w:val="1F2B28"/>
                <w:sz w:val="21"/>
                <w:szCs w:val="21"/>
              </w:rPr>
              <w:t xml:space="preserve">Object</w:t>
            </w:r>
            <w:r>
              <w:rPr>
                <w:rFonts w:ascii="Atkinson Hyperlegible Next" w:cs="Atkinson Hyperlegible Next" w:eastAsia="Atkinson Hyperlegible Next" w:hAnsi="Atkinson Hyperlegible Next"/>
                <w:color w:val="1F2B28"/>
                <w:sz w:val="22"/>
                <w:szCs w:val="22"/>
              </w:rPr>
              <w:t xml:space="preserve"> its superclass.</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A </w:t>
            </w:r>
            <w:r>
              <w:rPr>
                <w:rFonts w:ascii="Atkinson Hyperlegible Mono" w:cs="Atkinson Hyperlegible Mono" w:eastAsia="Atkinson Hyperlegible Mono" w:hAnsi="Atkinson Hyperlegible Mono"/>
                <w:color w:val="1F2B28"/>
                <w:sz w:val="21"/>
                <w:szCs w:val="21"/>
              </w:rPr>
              <w:t xml:space="preserve">Song</w:t>
            </w:r>
            <w:r>
              <w:rPr>
                <w:rFonts w:ascii="Atkinson Hyperlegible Next" w:cs="Atkinson Hyperlegible Next" w:eastAsia="Atkinson Hyperlegible Next" w:hAnsi="Atkinson Hyperlegible Next"/>
                <w:color w:val="1F2B28"/>
                <w:sz w:val="22"/>
                <w:szCs w:val="22"/>
              </w:rPr>
              <w:t xml:space="preserve"> object can use the behaviors that the </w:t>
            </w:r>
            <w:r>
              <w:rPr>
                <w:rFonts w:ascii="Atkinson Hyperlegible Mono" w:cs="Atkinson Hyperlegible Mono" w:eastAsia="Atkinson Hyperlegible Mono" w:hAnsi="Atkinson Hyperlegible Mono"/>
                <w:color w:val="1F2B28"/>
                <w:sz w:val="21"/>
                <w:szCs w:val="21"/>
              </w:rPr>
              <w:t xml:space="preserve">Object</w:t>
            </w:r>
            <w:r>
              <w:rPr>
                <w:rFonts w:ascii="Atkinson Hyperlegible Next" w:cs="Atkinson Hyperlegible Next" w:eastAsia="Atkinson Hyperlegible Next" w:hAnsi="Atkinson Hyperlegible Next"/>
                <w:color w:val="1F2B28"/>
                <w:sz w:val="22"/>
                <w:szCs w:val="22"/>
              </w:rPr>
              <w:t xml:space="preserve"> class defines.</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Song</w:t>
            </w:r>
            <w:r>
              <w:rPr>
                <w:rFonts w:ascii="Atkinson Hyperlegible Next" w:cs="Atkinson Hyperlegible Next" w:eastAsia="Atkinson Hyperlegible Next" w:hAnsi="Atkinson Hyperlegible Next"/>
                <w:color w:val="1F2B28"/>
                <w:sz w:val="22"/>
                <w:szCs w:val="22"/>
              </w:rPr>
              <w:t xml:space="preserve"> is not a subclass of </w:t>
            </w:r>
            <w:r>
              <w:rPr>
                <w:rFonts w:ascii="Atkinson Hyperlegible Mono" w:cs="Atkinson Hyperlegible Mono" w:eastAsia="Atkinson Hyperlegible Mono" w:hAnsi="Atkinson Hyperlegible Mono"/>
                <w:color w:val="1F2B28"/>
                <w:sz w:val="21"/>
                <w:szCs w:val="21"/>
              </w:rPr>
              <w:t xml:space="preserve">Object</w:t>
            </w:r>
            <w:r>
              <w:rPr>
                <w:rFonts w:ascii="Atkinson Hyperlegible Next" w:cs="Atkinson Hyperlegible Next" w:eastAsia="Atkinson Hyperlegible Next" w:hAnsi="Atkinson Hyperlegible Next"/>
                <w:color w:val="1F2B28"/>
                <w:sz w:val="22"/>
                <w:szCs w:val="22"/>
              </w:rPr>
              <w:t xml:space="preserve">, because its superclass is already </w:t>
            </w:r>
            <w:r>
              <w:rPr>
                <w:rFonts w:ascii="Atkinson Hyperlegible Mono" w:cs="Atkinson Hyperlegible Mono" w:eastAsia="Atkinson Hyperlegible Mono" w:hAnsi="Atkinson Hyperlegible Mono"/>
                <w:color w:val="1F2B28"/>
                <w:sz w:val="21"/>
                <w:szCs w:val="21"/>
              </w:rPr>
              <w:t xml:space="preserve">MediaItem</w:t>
            </w:r>
            <w:r>
              <w:rPr>
                <w:rFonts w:ascii="Atkinson Hyperlegible Next" w:cs="Atkinson Hyperlegible Next" w:eastAsia="Atkinson Hyperlegible Next" w:hAnsi="Atkinson Hyperlegible Next"/>
                <w:color w:val="1F2B28"/>
                <w:sz w:val="22"/>
                <w:szCs w:val="22"/>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the </w:t>
            </w:r>
            <w:r>
              <w:rPr>
                <w:rFonts w:ascii="Atkinson Hyperlegible Mono" w:cs="Atkinson Hyperlegible Mono" w:eastAsia="Atkinson Hyperlegible Mono" w:hAnsi="Atkinson Hyperlegible Mono"/>
                <w:color w:val="1F2B28"/>
                <w:sz w:val="22"/>
                <w:szCs w:val="22"/>
              </w:rPr>
              <w:t xml:space="preserve">String</w:t>
            </w:r>
            <w:r>
              <w:rPr>
                <w:rFonts w:ascii="Atkinson Hyperlegible Next" w:cs="Atkinson Hyperlegible Next" w:eastAsia="Atkinson Hyperlegible Next" w:hAnsi="Atkinson Hyperlegible Next"/>
                <w:color w:val="1F2B28"/>
                <w:sz w:val="23"/>
                <w:szCs w:val="23"/>
              </w:rPr>
              <w:t xml:space="preserve"> class and the object </w:t>
            </w:r>
            <w:r>
              <w:rPr>
                <w:rFonts w:ascii="Atkinson Hyperlegible Mono" w:cs="Atkinson Hyperlegible Mono" w:eastAsia="Atkinson Hyperlegible Mono" w:hAnsi="Atkinson Hyperlegible Mono"/>
                <w:color w:val="1F2B28"/>
                <w:sz w:val="22"/>
                <w:szCs w:val="22"/>
              </w:rPr>
              <w:t xml:space="preserve">"Ada"</w:t>
            </w:r>
            <w:r>
              <w:rPr>
                <w:rFonts w:ascii="Atkinson Hyperlegible Next" w:cs="Atkinson Hyperlegible Next" w:eastAsia="Atkinson Hyperlegible Next" w:hAnsi="Atkinson Hyperlegible Next"/>
                <w:color w:val="1F2B28"/>
                <w:sz w:val="23"/>
                <w:szCs w:val="23"/>
              </w:rPr>
              <w:t xml:space="preserve"> argue about who's more important.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String class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the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 I describe what every piece of text knows and what it can do.</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"Ada"</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I'm one specific </w:t>
                  </w:r>
                  <w:r>
                    <w:rPr>
                      <w:rFonts w:ascii="Atkinson Hyperlegible Next" w:cs="Atkinson Hyperlegible Next" w:eastAsia="Atkinson Hyperlegible Next" w:hAnsi="Atkinson Hyperlegible Next"/>
                      <w:color w:val="8A9792"/>
                      <w:sz w:val="22"/>
                      <w:szCs w:val="22"/>
                    </w:rPr>
                    <w:t xml:space="preserve">____________</w:t>
                  </w:r>
                  <w:r>
                    <w:rPr>
                      <w:rFonts w:ascii="Atkinson Hyperlegible Next" w:cs="Atkinson Hyperlegible Next" w:eastAsia="Atkinson Hyperlegible Next" w:hAnsi="Atkinson Hyperlegible Next"/>
                      <w:color w:val="1F2B28"/>
                      <w:sz w:val="22"/>
                      <w:szCs w:val="22"/>
                    </w:rPr>
                    <w:t xml:space="preserve"> of you: an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with my own characters.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String class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Every object made from me has the same kinds of </w:t>
                  </w:r>
                  <w:r>
                    <w:rPr>
                      <w:rFonts w:ascii="Atkinson Hyperlegible Next" w:cs="Atkinson Hyperlegible Next" w:eastAsia="Atkinson Hyperlegible Next" w:hAnsi="Atkinson Hyperlegible Next"/>
                      <w:color w:val="8A9792"/>
                      <w:sz w:val="22"/>
                      <w:szCs w:val="22"/>
                    </w:rPr>
                    <w:t xml:space="preserve">_______________</w:t>
                  </w:r>
                  <w:r>
                    <w:rPr>
                      <w:rFonts w:ascii="Atkinson Hyperlegible Next" w:cs="Atkinson Hyperlegible Next" w:eastAsia="Atkinson Hyperlegible Next" w:hAnsi="Atkinson Hyperlegible Next"/>
                      <w:color w:val="1F2B28"/>
                      <w:sz w:val="22"/>
                      <w:szCs w:val="22"/>
                    </w:rPr>
                    <w:t xml:space="preserve"> and the same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"Ada"</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Same behaviors, different answers. Ask me for my </w:t>
                  </w:r>
                  <w:r>
                    <w:rPr>
                      <w:rFonts w:ascii="Atkinson Hyperlegible Mono" w:cs="Atkinson Hyperlegible Mono" w:eastAsia="Atkinson Hyperlegible Mono" w:hAnsi="Atkinson Hyperlegible Mono"/>
                      <w:color w:val="1F2B28"/>
                      <w:sz w:val="21"/>
                      <w:szCs w:val="21"/>
                    </w:rPr>
                    <w:t xml:space="preserve">length()</w:t>
                  </w:r>
                  <w:r>
                    <w:rPr>
                      <w:rFonts w:ascii="Atkinson Hyperlegible Next" w:cs="Atkinson Hyperlegible Next" w:eastAsia="Atkinson Hyperlegible Next" w:hAnsi="Atkinson Hyperlegible Next"/>
                      <w:color w:val="1F2B28"/>
                      <w:sz w:val="22"/>
                      <w:szCs w:val="22"/>
                    </w:rPr>
                    <w:t xml:space="preserve"> and I say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Ask </w:t>
                  </w:r>
                  <w:r>
                    <w:rPr>
                      <w:rFonts w:ascii="Atkinson Hyperlegible Mono" w:cs="Atkinson Hyperlegible Mono" w:eastAsia="Atkinson Hyperlegible Mono" w:hAnsi="Atkinson Hyperlegible Mono"/>
                      <w:color w:val="1F2B28"/>
                      <w:sz w:val="21"/>
                      <w:szCs w:val="21"/>
                    </w:rPr>
                    <w:t xml:space="preserve">"Grace Hopper"</w:t>
                  </w:r>
                  <w:r>
                    <w:rPr>
                      <w:rFonts w:ascii="Atkinson Hyperlegible Next" w:cs="Atkinson Hyperlegible Next" w:eastAsia="Atkinson Hyperlegible Next" w:hAnsi="Atkinson Hyperlegible Next"/>
                      <w:color w:val="1F2B28"/>
                      <w:sz w:val="22"/>
                      <w:szCs w:val="22"/>
                    </w:rPr>
                    <w:t xml:space="preserve"> and you get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String class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Different values, same plan. There's only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of me, but there can be any number of you.</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"Ada"</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Just don't let anyone call you an object. Ask "which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and the answer is always one of us.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shakers got their labels mixed up, so the program must make </w:t>
            </w:r>
            <w:r>
              <w:rPr>
                <w:rFonts w:ascii="Atkinson Hyperlegible Mono" w:cs="Atkinson Hyperlegible Mono" w:eastAsia="Atkinson Hyperlegible Mono" w:hAnsi="Atkinson Hyperlegible Mono"/>
                <w:color w:val="1F2B28"/>
                <w:sz w:val="22"/>
                <w:szCs w:val="22"/>
              </w:rPr>
              <w:t xml:space="preserve">left</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right</w:t>
            </w:r>
            <w:r>
              <w:rPr>
                <w:rFonts w:ascii="Atkinson Hyperlegible Next" w:cs="Atkinson Hyperlegible Next" w:eastAsia="Atkinson Hyperlegible Next" w:hAnsi="Atkinson Hyperlegible Next"/>
                <w:color w:val="1F2B28"/>
                <w:sz w:val="23"/>
                <w:szCs w:val="23"/>
              </w:rPr>
              <w:t xml:space="preserve"> trade objects. The first two lines and the last two are stuck in place. Choose three tiles and put them in order so the program prints the output below. Two tiles are decoys.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left = "salt";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right = "pepper";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your three tiles go here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System.out.println(left);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System.out.println(right);</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72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40"/>
              <w:gridCol w:w="3240"/>
              <w:gridCol w:w="3240"/>
            </w:tblGrid>
            <w:tr>
              <w:trPr>
                <w:cantSplit/>
              </w:trPr>
              <w:tc>
                <w:tcPr>
                  <w:tcW w:type="dxa" w:w="324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left = right;</w:t>
                  </w:r>
                </w:p>
              </w:tc>
              <w:tc>
                <w:tcPr>
                  <w:tcW w:type="dxa" w:w="324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right = left;</w:t>
                  </w:r>
                </w:p>
              </w:tc>
              <w:tc>
                <w:tcPr>
                  <w:tcW w:type="dxa" w:w="324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String temp = left;</w:t>
                  </w:r>
                </w:p>
              </w:tc>
            </w:tr>
            <w:tr>
              <w:trPr>
                <w:cantSplit/>
              </w:trPr>
              <w:tc>
                <w:tcPr>
                  <w:tcW w:type="dxa" w:w="324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right = temp;</w:t>
                  </w:r>
                </w:p>
              </w:tc>
              <w:tc>
                <w:tcPr>
                  <w:tcW w:type="dxa" w:w="324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left = temp;</w:t>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pepper</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salt</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three tiles, in order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game should save the old level in </w:t>
            </w:r>
            <w:r>
              <w:rPr>
                <w:rFonts w:ascii="Atkinson Hyperlegible Mono" w:cs="Atkinson Hyperlegible Mono" w:eastAsia="Atkinson Hyperlegible Mono" w:hAnsi="Atkinson Hyperlegible Mono"/>
                <w:color w:val="1F2B28"/>
                <w:sz w:val="22"/>
                <w:szCs w:val="22"/>
              </w:rPr>
              <w:t xml:space="preserve">before</w:t>
            </w:r>
            <w:r>
              <w:rPr>
                <w:rFonts w:ascii="Atkinson Hyperlegible Next" w:cs="Atkinson Hyperlegible Next" w:eastAsia="Atkinson Hyperlegible Next" w:hAnsi="Atkinson Hyperlegible Next"/>
                <w:color w:val="1F2B28"/>
                <w:sz w:val="23"/>
                <w:szCs w:val="23"/>
              </w:rPr>
              <w:t xml:space="preserve">, move </w:t>
            </w:r>
            <w:r>
              <w:rPr>
                <w:rFonts w:ascii="Atkinson Hyperlegible Mono" w:cs="Atkinson Hyperlegible Mono" w:eastAsia="Atkinson Hyperlegible Mono" w:hAnsi="Atkinson Hyperlegible Mono"/>
                <w:color w:val="1F2B28"/>
                <w:sz w:val="22"/>
                <w:szCs w:val="22"/>
              </w:rPr>
              <w:t xml:space="preserve">level</w:t>
            </w:r>
            <w:r>
              <w:rPr>
                <w:rFonts w:ascii="Atkinson Hyperlegible Next" w:cs="Atkinson Hyperlegible Next" w:eastAsia="Atkinson Hyperlegible Next" w:hAnsi="Atkinson Hyperlegible Next"/>
                <w:color w:val="1F2B28"/>
                <w:sz w:val="23"/>
                <w:szCs w:val="23"/>
              </w:rPr>
              <w:t xml:space="preserve"> up, and print </w:t>
            </w:r>
            <w:r>
              <w:rPr>
                <w:rFonts w:ascii="Atkinson Hyperlegible Mono" w:cs="Atkinson Hyperlegible Mono" w:eastAsia="Atkinson Hyperlegible Mono" w:hAnsi="Atkinson Hyperlegible Mono"/>
                <w:color w:val="1F2B28"/>
                <w:sz w:val="22"/>
                <w:szCs w:val="22"/>
              </w:rPr>
              <w:t xml:space="preserve">Level 1</w:t>
            </w:r>
            <w:r>
              <w:rPr>
                <w:rFonts w:ascii="Atkinson Hyperlegible Next" w:cs="Atkinson Hyperlegible Next" w:eastAsia="Atkinson Hyperlegible Next" w:hAnsi="Atkinson Hyperlegible Next"/>
                <w:color w:val="1F2B28"/>
                <w:sz w:val="23"/>
                <w:szCs w:val="23"/>
              </w:rPr>
              <w:t xml:space="preserve"> and then </w:t>
            </w:r>
            <w:r>
              <w:rPr>
                <w:rFonts w:ascii="Atkinson Hyperlegible Mono" w:cs="Atkinson Hyperlegible Mono" w:eastAsia="Atkinson Hyperlegible Mono" w:hAnsi="Atkinson Hyperlegible Mono"/>
                <w:color w:val="1F2B28"/>
                <w:sz w:val="22"/>
                <w:szCs w:val="22"/>
              </w:rPr>
              <w:t xml:space="preserve">Level 2</w:t>
            </w:r>
            <w:r>
              <w:rPr>
                <w:rFonts w:ascii="Atkinson Hyperlegible Next" w:cs="Atkinson Hyperlegible Next" w:eastAsia="Atkinson Hyperlegible Next" w:hAnsi="Atkinson Hyperlegible Next"/>
                <w:color w:val="1F2B28"/>
                <w:sz w:val="23"/>
                <w:szCs w:val="23"/>
              </w:rPr>
              <w:t xml:space="preserve">. It prints </w:t>
            </w:r>
            <w:r>
              <w:rPr>
                <w:rFonts w:ascii="Atkinson Hyperlegible Mono" w:cs="Atkinson Hyperlegible Mono" w:eastAsia="Atkinson Hyperlegible Mono" w:hAnsi="Atkinson Hyperlegible Mono"/>
                <w:color w:val="1F2B28"/>
                <w:sz w:val="22"/>
                <w:szCs w:val="22"/>
              </w:rPr>
              <w:t xml:space="preserve">Level 2</w:t>
            </w:r>
            <w:r>
              <w:rPr>
                <w:rFonts w:ascii="Atkinson Hyperlegible Next" w:cs="Atkinson Hyperlegible Next" w:eastAsia="Atkinson Hyperlegible Next" w:hAnsi="Atkinson Hyperlegible Next"/>
                <w:color w:val="1F2B28"/>
                <w:sz w:val="23"/>
                <w:szCs w:val="23"/>
              </w:rPr>
              <w:t xml:space="preserve"> and then </w:t>
            </w:r>
            <w:r>
              <w:rPr>
                <w:rFonts w:ascii="Atkinson Hyperlegible Mono" w:cs="Atkinson Hyperlegible Mono" w:eastAsia="Atkinson Hyperlegible Mono" w:hAnsi="Atkinson Hyperlegible Mono"/>
                <w:color w:val="1F2B28"/>
                <w:sz w:val="22"/>
                <w:szCs w:val="22"/>
              </w:rPr>
              <w:t xml:space="preserve">Level 1</w:t>
            </w:r>
            <w:r>
              <w:rPr>
                <w:rFonts w:ascii="Atkinson Hyperlegible Next" w:cs="Atkinson Hyperlegible Next" w:eastAsia="Atkinson Hyperlegible Next" w:hAnsi="Atkinson Hyperlegible Next"/>
                <w:color w:val="1F2B28"/>
                <w:sz w:val="23"/>
                <w:szCs w:val="23"/>
              </w:rPr>
              <w:t xml:space="preserve"> instead.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String level = "Level 1";</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String before = level;</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before = "Level 2";</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System.out.println(before);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System.out.println(level);</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token,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ideas about objects are playing a party game. Each gives a clue about itself. Name the idea.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80"/>
              <w:gridCol w:w="3200"/>
            </w:tblGrid>
            <w:tr>
              <w:trPr>
                <w:cantSplit/>
              </w:trPr>
              <w:tc>
                <w:tcPr>
                  <w:tcW w:type="dxa" w:w="6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hold the attributes and behaviors that related classes share.</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extend another class and get its attributes and behaviors without rewriting them.</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relationship that runs from a subclass up to its superclass.</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what a </w:t>
                  </w:r>
                  <w:r>
                    <w:rPr>
                      <w:rFonts w:ascii="Atkinson Hyperlegible Mono" w:cs="Atkinson Hyperlegible Mono" w:eastAsia="Atkinson Hyperlegible Mono" w:hAnsi="Atkinson Hyperlegible Mono"/>
                      <w:color w:val="1F2B28"/>
                      <w:sz w:val="20"/>
                      <w:szCs w:val="20"/>
                    </w:rPr>
                    <w:t xml:space="preserve">String</w:t>
                  </w:r>
                  <w:r>
                    <w:rPr>
                      <w:rFonts w:ascii="Atkinson Hyperlegible Next" w:cs="Atkinson Hyperlegible Next" w:eastAsia="Atkinson Hyperlegible Next" w:hAnsi="Atkinson Hyperlegible Next"/>
                      <w:color w:val="1F2B28"/>
                      <w:sz w:val="21"/>
                      <w:szCs w:val="21"/>
                    </w:rPr>
                    <w:t xml:space="preserve"> variable really holds. Think of me as a memory address.</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My variables keep their value right in their own box, like </w:t>
                  </w:r>
                  <w:r>
                    <w:rPr>
                      <w:rFonts w:ascii="Atkinson Hyperlegible Mono" w:cs="Atkinson Hyperlegible Mono" w:eastAsia="Atkinson Hyperlegible Mono" w:hAnsi="Atkinson Hyperlegible Mono"/>
                      <w:color w:val="1F2B28"/>
                      <w:sz w:val="20"/>
                      <w:szCs w:val="20"/>
                    </w:rPr>
                    <w:t xml:space="preserve">int</w:t>
                  </w:r>
                  <w:r>
                    <w:rPr>
                      <w:rFonts w:ascii="Atkinson Hyperlegible Next" w:cs="Atkinson Hyperlegible Next" w:eastAsia="Atkinson Hyperlegible Next" w:hAnsi="Atkinson Hyperlegible Next"/>
                      <w:color w:val="1F2B28"/>
                      <w:sz w:val="21"/>
                      <w:szCs w:val="21"/>
                    </w:rPr>
                    <w:t xml:space="preserve"> and </w:t>
                  </w:r>
                  <w:r>
                    <w:rPr>
                      <w:rFonts w:ascii="Atkinson Hyperlegible Mono" w:cs="Atkinson Hyperlegible Mono" w:eastAsia="Atkinson Hyperlegible Mono" w:hAnsi="Atkinson Hyperlegible Mono"/>
                      <w:color w:val="1F2B28"/>
                      <w:sz w:val="20"/>
                      <w:szCs w:val="20"/>
                    </w:rPr>
                    <w:t xml:space="preserve">double</w:t>
                  </w:r>
                  <w:r>
                    <w:rPr>
                      <w:rFonts w:ascii="Atkinson Hyperlegible Next" w:cs="Atkinson Hyperlegible Next" w:eastAsia="Atkinson Hyperlegible Next" w:hAnsi="Atkinson Hyperlegible Next"/>
                      <w:color w:val="1F2B28"/>
                      <w:sz w:val="21"/>
                      <w:szCs w:val="21"/>
                    </w:rPr>
                    <w:t xml:space="preserve">.</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1.12 Objects Instances of Classes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Blueprints and Instances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